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33" w:rsidRPr="00595490" w:rsidRDefault="00E81D97" w:rsidP="008941A1">
      <w:pPr>
        <w:pStyle w:val="a5"/>
        <w:ind w:leftChars="-135" w:left="-283" w:rightChars="-94" w:right="-197" w:firstLineChars="0" w:firstLine="0"/>
        <w:jc w:val="center"/>
        <w:rPr>
          <w:rFonts w:eastAsiaTheme="minorEastAsia"/>
          <w:b/>
        </w:rPr>
      </w:pPr>
      <w:r w:rsidRPr="00E81D97">
        <w:rPr>
          <w:rFonts w:eastAsiaTheme="minorEastAsia" w:hint="eastAsia"/>
          <w:b/>
        </w:rPr>
        <w:t>亭子头村温泉北路、长春路交汇东北地块</w:t>
      </w:r>
      <w:r w:rsidR="006601A7" w:rsidRPr="006601A7">
        <w:rPr>
          <w:rFonts w:eastAsiaTheme="minorEastAsia" w:hint="eastAsia"/>
          <w:b/>
        </w:rPr>
        <w:t>土壤污染状况调查报告</w:t>
      </w:r>
      <w:r w:rsidR="00A674D2" w:rsidRPr="00595490">
        <w:rPr>
          <w:rFonts w:eastAsiaTheme="minorEastAsia"/>
          <w:b/>
        </w:rPr>
        <w:t>主要</w:t>
      </w:r>
      <w:r w:rsidR="008A2279" w:rsidRPr="00595490">
        <w:rPr>
          <w:rFonts w:eastAsiaTheme="minorEastAsia"/>
          <w:b/>
        </w:rPr>
        <w:t>内容</w:t>
      </w:r>
    </w:p>
    <w:p w:rsidR="00AF05A3" w:rsidRDefault="00AF05A3" w:rsidP="00AF05A3">
      <w:pPr>
        <w:spacing w:line="360" w:lineRule="auto"/>
        <w:ind w:leftChars="-135" w:left="-283" w:rightChars="-94" w:right="-197" w:firstLineChars="200" w:firstLine="480"/>
        <w:rPr>
          <w:rFonts w:eastAsiaTheme="minorEastAsia"/>
          <w:sz w:val="24"/>
          <w:szCs w:val="24"/>
        </w:rPr>
      </w:pPr>
      <w:r w:rsidRPr="00AF05A3">
        <w:rPr>
          <w:rFonts w:eastAsiaTheme="minorEastAsia" w:hint="eastAsia"/>
          <w:sz w:val="24"/>
          <w:szCs w:val="24"/>
        </w:rPr>
        <w:t>根据《中华人民共和国土壤污染防治法》（</w:t>
      </w:r>
      <w:r w:rsidRPr="00AF05A3">
        <w:rPr>
          <w:rFonts w:eastAsiaTheme="minorEastAsia" w:hint="eastAsia"/>
          <w:sz w:val="24"/>
          <w:szCs w:val="24"/>
        </w:rPr>
        <w:t>2019.01.01</w:t>
      </w:r>
      <w:r w:rsidRPr="00AF05A3">
        <w:rPr>
          <w:rFonts w:eastAsiaTheme="minorEastAsia" w:hint="eastAsia"/>
          <w:sz w:val="24"/>
          <w:szCs w:val="24"/>
        </w:rPr>
        <w:t>）第五十九条要求，用途变更为住宅、公共管理与公共服务用地的，变更前应当按照规定进行土壤污染状况调查。为保障地块今后用地的环境安全，</w:t>
      </w:r>
      <w:r w:rsidR="00E81D97" w:rsidRPr="00E81D97">
        <w:rPr>
          <w:rFonts w:eastAsiaTheme="minorEastAsia" w:hint="eastAsia"/>
          <w:sz w:val="24"/>
          <w:szCs w:val="24"/>
        </w:rPr>
        <w:t>临沂市河东区自然资源局</w:t>
      </w:r>
      <w:r w:rsidRPr="00AF05A3">
        <w:rPr>
          <w:rFonts w:eastAsiaTheme="minorEastAsia" w:hint="eastAsia"/>
          <w:sz w:val="24"/>
          <w:szCs w:val="24"/>
        </w:rPr>
        <w:t>委托青岛谱尼测试有限公司进行该地块土壤污染状况调查并编制报告，主要内容如下：</w:t>
      </w:r>
    </w:p>
    <w:p w:rsidR="00E81D97" w:rsidRPr="006812EE" w:rsidRDefault="00E81D97" w:rsidP="00E81D97">
      <w:pPr>
        <w:pStyle w:val="a5"/>
        <w:ind w:firstLine="474"/>
        <w:rPr>
          <w:color w:val="000000"/>
        </w:rPr>
      </w:pPr>
      <w:r w:rsidRPr="006812EE">
        <w:rPr>
          <w:rFonts w:hint="eastAsia"/>
          <w:b/>
          <w:bCs/>
          <w:color w:val="000000"/>
        </w:rPr>
        <w:t>一、基本情况</w:t>
      </w:r>
    </w:p>
    <w:p w:rsidR="00E81D97" w:rsidRPr="006812EE" w:rsidRDefault="00E81D97" w:rsidP="00E81D97">
      <w:pPr>
        <w:pStyle w:val="a5"/>
        <w:ind w:firstLine="472"/>
        <w:rPr>
          <w:color w:val="000000"/>
        </w:rPr>
      </w:pPr>
      <w:r w:rsidRPr="006812EE">
        <w:rPr>
          <w:rFonts w:hint="eastAsia"/>
          <w:color w:val="000000"/>
        </w:rPr>
        <w:t>地块名称：</w:t>
      </w:r>
      <w:r w:rsidRPr="006812EE">
        <w:rPr>
          <w:rFonts w:hint="eastAsia"/>
          <w:color w:val="000000"/>
          <w:spacing w:val="0"/>
        </w:rPr>
        <w:t>亭子头村温泉北路、长春路交汇东北地块</w:t>
      </w:r>
    </w:p>
    <w:p w:rsidR="00E81D97" w:rsidRPr="006812EE" w:rsidRDefault="00E81D97" w:rsidP="00E81D97">
      <w:pPr>
        <w:pStyle w:val="a5"/>
        <w:ind w:firstLine="472"/>
        <w:rPr>
          <w:color w:val="000000"/>
        </w:rPr>
      </w:pPr>
      <w:r w:rsidRPr="006812EE">
        <w:rPr>
          <w:rFonts w:hint="eastAsia"/>
          <w:color w:val="000000"/>
        </w:rPr>
        <w:t>占地面积：</w:t>
      </w:r>
      <w:r w:rsidRPr="006812EE">
        <w:rPr>
          <w:rFonts w:eastAsiaTheme="minorEastAsia"/>
        </w:rPr>
        <w:t>169630</w:t>
      </w:r>
      <w:r w:rsidRPr="006812EE">
        <w:rPr>
          <w:rFonts w:hAnsi="宋体" w:hint="eastAsia"/>
        </w:rPr>
        <w:t>平方米</w:t>
      </w:r>
    </w:p>
    <w:p w:rsidR="00E81D97" w:rsidRPr="006812EE" w:rsidRDefault="00E81D97" w:rsidP="00E81D97">
      <w:pPr>
        <w:pStyle w:val="a5"/>
        <w:ind w:firstLine="472"/>
        <w:rPr>
          <w:color w:val="000000"/>
        </w:rPr>
      </w:pPr>
      <w:r w:rsidRPr="006812EE">
        <w:rPr>
          <w:rFonts w:hint="eastAsia"/>
          <w:color w:val="000000"/>
        </w:rPr>
        <w:t>地理位置：</w:t>
      </w:r>
      <w:r w:rsidRPr="006812EE">
        <w:rPr>
          <w:rFonts w:eastAsiaTheme="minorEastAsia"/>
        </w:rPr>
        <w:t>山东省临沂市河东区太平街道亭子头村南侧</w:t>
      </w:r>
      <w:r w:rsidRPr="006812EE">
        <w:rPr>
          <w:rFonts w:eastAsiaTheme="minorEastAsia"/>
        </w:rPr>
        <w:t>800</w:t>
      </w:r>
      <w:r w:rsidRPr="006812EE">
        <w:rPr>
          <w:rFonts w:eastAsiaTheme="minorEastAsia"/>
        </w:rPr>
        <w:t>米，长春路北侧，温泉北路（规划路）以东，凤凰北街（规划路）以南</w:t>
      </w:r>
    </w:p>
    <w:p w:rsidR="00E81D97" w:rsidRPr="006812EE" w:rsidRDefault="00E81D97" w:rsidP="00E81D97">
      <w:pPr>
        <w:pStyle w:val="a5"/>
        <w:ind w:firstLine="472"/>
        <w:rPr>
          <w:color w:val="000000"/>
        </w:rPr>
      </w:pPr>
      <w:r w:rsidRPr="006812EE">
        <w:rPr>
          <w:rFonts w:hint="eastAsia"/>
          <w:color w:val="000000"/>
        </w:rPr>
        <w:t>土地使用权人：</w:t>
      </w:r>
      <w:r w:rsidRPr="006812EE">
        <w:rPr>
          <w:rFonts w:hint="eastAsia"/>
          <w:color w:val="000000"/>
          <w:spacing w:val="0"/>
        </w:rPr>
        <w:t>山东省临沂市河东区太平街道亭子头村村民委员会</w:t>
      </w:r>
    </w:p>
    <w:p w:rsidR="00E81D97" w:rsidRPr="006812EE" w:rsidRDefault="00E81D97" w:rsidP="00E81D97">
      <w:pPr>
        <w:pStyle w:val="a5"/>
        <w:ind w:firstLine="472"/>
        <w:rPr>
          <w:color w:val="000000"/>
        </w:rPr>
      </w:pPr>
      <w:r w:rsidRPr="006812EE">
        <w:rPr>
          <w:rFonts w:hint="eastAsia"/>
          <w:color w:val="000000"/>
        </w:rPr>
        <w:t>地块土地利用现状：</w:t>
      </w:r>
      <w:r w:rsidRPr="006812EE">
        <w:rPr>
          <w:rFonts w:eastAsiaTheme="minorEastAsia"/>
        </w:rPr>
        <w:t>地块内西北侧现为奥正集团仓库（存放办公用品和家具）和宿舍，仓库东边为散户养殖，养殖三四十只鸡，地块南侧有一段硬化道路，大门两侧有两个闲置门卫房，地块内穿插农村未硬化道路，地块内其余大部分土地种植果树及苗木树林</w:t>
      </w:r>
      <w:r w:rsidRPr="006812EE">
        <w:rPr>
          <w:rFonts w:hAnsi="宋体" w:hint="eastAsia"/>
        </w:rPr>
        <w:t>，暂未征收。</w:t>
      </w:r>
    </w:p>
    <w:p w:rsidR="00E81D97" w:rsidRPr="006812EE" w:rsidRDefault="00E81D97" w:rsidP="00E81D97">
      <w:pPr>
        <w:pStyle w:val="a5"/>
        <w:ind w:firstLine="472"/>
        <w:rPr>
          <w:color w:val="000000"/>
        </w:rPr>
      </w:pPr>
      <w:r w:rsidRPr="006812EE">
        <w:rPr>
          <w:rFonts w:hint="eastAsia"/>
          <w:color w:val="000000"/>
        </w:rPr>
        <w:t>未来规划：</w:t>
      </w:r>
      <w:r w:rsidRPr="006812EE">
        <w:rPr>
          <w:rFonts w:eastAsiaTheme="minorEastAsia"/>
        </w:rPr>
        <w:t>根据临沂市河东区太平街道总体规划（</w:t>
      </w:r>
      <w:r w:rsidRPr="006812EE">
        <w:rPr>
          <w:rFonts w:eastAsiaTheme="minorEastAsia"/>
        </w:rPr>
        <w:t>2019-2035</w:t>
      </w:r>
      <w:r w:rsidRPr="006812EE">
        <w:rPr>
          <w:rFonts w:eastAsiaTheme="minorEastAsia"/>
        </w:rPr>
        <w:t>），本地块拟规划为二类居住用地（</w:t>
      </w:r>
      <w:r w:rsidRPr="006812EE">
        <w:rPr>
          <w:rFonts w:eastAsiaTheme="minorEastAsia"/>
        </w:rPr>
        <w:t>R2</w:t>
      </w:r>
      <w:r w:rsidRPr="006812EE">
        <w:rPr>
          <w:rFonts w:eastAsiaTheme="minorEastAsia"/>
        </w:rPr>
        <w:t>：二类居住用地是指设施较齐全、环境良好，以多、中、高层住宅为主的用地）及商业用地（</w:t>
      </w:r>
      <w:r w:rsidRPr="006812EE">
        <w:rPr>
          <w:rFonts w:eastAsiaTheme="minorEastAsia"/>
        </w:rPr>
        <w:t>B1</w:t>
      </w:r>
      <w:r w:rsidRPr="006812EE">
        <w:rPr>
          <w:rFonts w:eastAsiaTheme="minorEastAsia"/>
        </w:rPr>
        <w:t>：商业及餐饮、旅馆等服务业用地）</w:t>
      </w:r>
    </w:p>
    <w:p w:rsidR="00E81D97" w:rsidRPr="006812EE" w:rsidRDefault="00E81D97" w:rsidP="00E81D97">
      <w:pPr>
        <w:pStyle w:val="a5"/>
        <w:ind w:firstLine="472"/>
        <w:rPr>
          <w:color w:val="000000"/>
        </w:rPr>
      </w:pPr>
      <w:r w:rsidRPr="006812EE">
        <w:rPr>
          <w:rFonts w:hint="eastAsia"/>
          <w:color w:val="000000"/>
        </w:rPr>
        <w:t>土壤污染状况初步调查单位：青岛谱尼测试有限公司</w:t>
      </w:r>
    </w:p>
    <w:p w:rsidR="00E81D97" w:rsidRPr="006812EE" w:rsidRDefault="00E81D97" w:rsidP="00E81D97">
      <w:pPr>
        <w:pStyle w:val="a5"/>
        <w:ind w:firstLine="472"/>
        <w:rPr>
          <w:color w:val="000000"/>
        </w:rPr>
      </w:pPr>
      <w:r w:rsidRPr="006812EE">
        <w:rPr>
          <w:rFonts w:hint="eastAsia"/>
          <w:color w:val="000000"/>
        </w:rPr>
        <w:t>调查缘由：用途变更为住宅、公共管理与公共服务用地的，变更前应当按照规定进行土壤污染状况调查的地块</w:t>
      </w:r>
    </w:p>
    <w:p w:rsidR="00E81D97" w:rsidRPr="006812EE" w:rsidRDefault="00E81D97" w:rsidP="00E81D97">
      <w:pPr>
        <w:pStyle w:val="a5"/>
        <w:ind w:firstLine="474"/>
        <w:rPr>
          <w:color w:val="000000"/>
        </w:rPr>
      </w:pPr>
      <w:r w:rsidRPr="006812EE">
        <w:rPr>
          <w:rFonts w:hint="eastAsia"/>
          <w:b/>
          <w:bCs/>
          <w:color w:val="000000"/>
        </w:rPr>
        <w:t>二、第一阶段调查</w:t>
      </w:r>
    </w:p>
    <w:p w:rsidR="00E81D97" w:rsidRPr="006812EE" w:rsidRDefault="00E81D97" w:rsidP="00E81D97">
      <w:pPr>
        <w:spacing w:line="360" w:lineRule="auto"/>
        <w:ind w:firstLineChars="200" w:firstLine="480"/>
        <w:rPr>
          <w:color w:val="000000"/>
          <w:sz w:val="24"/>
          <w:szCs w:val="24"/>
        </w:rPr>
      </w:pPr>
      <w:r w:rsidRPr="006812EE">
        <w:rPr>
          <w:rFonts w:hint="eastAsia"/>
          <w:color w:val="000000"/>
          <w:sz w:val="24"/>
          <w:szCs w:val="24"/>
        </w:rPr>
        <w:t>第一阶段调查工作开展时间为</w:t>
      </w:r>
      <w:r w:rsidRPr="006812EE">
        <w:rPr>
          <w:rFonts w:hint="eastAsia"/>
          <w:color w:val="000000"/>
          <w:sz w:val="24"/>
          <w:szCs w:val="24"/>
        </w:rPr>
        <w:t>2020</w:t>
      </w:r>
      <w:r w:rsidRPr="006812EE">
        <w:rPr>
          <w:rFonts w:hint="eastAsia"/>
          <w:color w:val="000000"/>
          <w:sz w:val="24"/>
          <w:szCs w:val="24"/>
        </w:rPr>
        <w:t>年</w:t>
      </w:r>
      <w:r w:rsidRPr="006812EE">
        <w:rPr>
          <w:rFonts w:hint="eastAsia"/>
          <w:color w:val="000000"/>
          <w:sz w:val="24"/>
          <w:szCs w:val="24"/>
        </w:rPr>
        <w:t>11</w:t>
      </w:r>
      <w:r w:rsidRPr="006812EE">
        <w:rPr>
          <w:rFonts w:hint="eastAsia"/>
          <w:color w:val="000000"/>
          <w:sz w:val="24"/>
          <w:szCs w:val="24"/>
        </w:rPr>
        <w:t>月。根据调查情况，本地块为山东省临沂市河东区太平街道亭子头村农用地（林地、沟渠、耕地、交通用地、其他土地）。</w:t>
      </w:r>
      <w:r w:rsidRPr="006812EE">
        <w:rPr>
          <w:rFonts w:eastAsiaTheme="minorEastAsia"/>
          <w:sz w:val="24"/>
          <w:szCs w:val="24"/>
        </w:rPr>
        <w:t>现场勘查，地块内西北侧现为奥正集团仓库（存放办公用品和家具）和宿舍，仓库东边为散户养殖，养殖三四十只鸡，地块南侧有一段硬化道路，大门两侧有两个闲置门卫房，地块内穿插农村未硬化道路，地块内其余大部分土地种植果树及苗木树林。地块东侧及南侧紧邻为树林，再南侧为依次为灌溉沟渠及长春路；西侧紧邻温泉北路，隔路为树林；西南角隔温泉北路为正直驾校；北侧紧凤凰北街，隔路为树林</w:t>
      </w:r>
      <w:r w:rsidRPr="006812EE">
        <w:rPr>
          <w:rFonts w:hint="eastAsia"/>
          <w:color w:val="000000"/>
          <w:sz w:val="24"/>
          <w:szCs w:val="24"/>
        </w:rPr>
        <w:t>。</w:t>
      </w:r>
    </w:p>
    <w:p w:rsidR="00E81D97" w:rsidRPr="006812EE" w:rsidRDefault="00E81D97" w:rsidP="00E81D97">
      <w:pPr>
        <w:spacing w:line="360" w:lineRule="auto"/>
        <w:ind w:firstLineChars="200" w:firstLine="480"/>
        <w:rPr>
          <w:color w:val="000000"/>
          <w:sz w:val="24"/>
          <w:szCs w:val="24"/>
        </w:rPr>
      </w:pPr>
      <w:r w:rsidRPr="006812EE">
        <w:rPr>
          <w:rFonts w:hint="eastAsia"/>
          <w:color w:val="000000"/>
          <w:sz w:val="24"/>
          <w:szCs w:val="24"/>
        </w:rPr>
        <w:lastRenderedPageBreak/>
        <w:t>根据相邻地块土地利用历史沿革，地块周边</w:t>
      </w:r>
      <w:r w:rsidRPr="006812EE">
        <w:rPr>
          <w:rFonts w:hint="eastAsia"/>
          <w:color w:val="000000"/>
          <w:sz w:val="24"/>
          <w:szCs w:val="24"/>
        </w:rPr>
        <w:t>1km</w:t>
      </w:r>
      <w:r w:rsidRPr="006812EE">
        <w:rPr>
          <w:rFonts w:hint="eastAsia"/>
          <w:color w:val="000000"/>
          <w:sz w:val="24"/>
          <w:szCs w:val="24"/>
        </w:rPr>
        <w:t>范围内主要为林地、采摘园、游乐场、驾校、居住区及五金加工类企业等。</w:t>
      </w:r>
    </w:p>
    <w:p w:rsidR="00E81D97" w:rsidRPr="006812EE" w:rsidRDefault="00E81D97" w:rsidP="00E81D97">
      <w:pPr>
        <w:widowControl/>
        <w:spacing w:line="360" w:lineRule="auto"/>
        <w:ind w:firstLineChars="200" w:firstLine="480"/>
        <w:jc w:val="left"/>
        <w:rPr>
          <w:color w:val="FF0000"/>
          <w:sz w:val="24"/>
          <w:szCs w:val="24"/>
        </w:rPr>
      </w:pPr>
      <w:r w:rsidRPr="006812EE">
        <w:rPr>
          <w:rFonts w:hint="eastAsia"/>
          <w:color w:val="000000"/>
          <w:sz w:val="24"/>
          <w:szCs w:val="24"/>
        </w:rPr>
        <w:t>根据污染识别结果，</w:t>
      </w:r>
      <w:r w:rsidRPr="006812EE">
        <w:rPr>
          <w:rFonts w:hint="eastAsia"/>
          <w:sz w:val="24"/>
          <w:szCs w:val="24"/>
        </w:rPr>
        <w:t>该地块原为农田，</w:t>
      </w:r>
      <w:r w:rsidRPr="006812EE">
        <w:rPr>
          <w:sz w:val="24"/>
          <w:szCs w:val="24"/>
        </w:rPr>
        <w:t>地块内</w:t>
      </w:r>
      <w:r w:rsidRPr="006812EE">
        <w:rPr>
          <w:sz w:val="24"/>
          <w:szCs w:val="24"/>
        </w:rPr>
        <w:t>20</w:t>
      </w:r>
      <w:r w:rsidRPr="006812EE">
        <w:rPr>
          <w:rFonts w:hint="eastAsia"/>
          <w:sz w:val="24"/>
          <w:szCs w:val="24"/>
        </w:rPr>
        <w:t>06</w:t>
      </w:r>
      <w:r w:rsidRPr="006812EE">
        <w:rPr>
          <w:rFonts w:hint="eastAsia"/>
          <w:sz w:val="24"/>
          <w:szCs w:val="24"/>
        </w:rPr>
        <w:t>至</w:t>
      </w:r>
      <w:r w:rsidRPr="006812EE">
        <w:rPr>
          <w:sz w:val="24"/>
          <w:szCs w:val="24"/>
        </w:rPr>
        <w:t>2013</w:t>
      </w:r>
      <w:r w:rsidRPr="006812EE">
        <w:rPr>
          <w:sz w:val="24"/>
          <w:szCs w:val="24"/>
        </w:rPr>
        <w:t>年曾有过短暂的规模化养殖（主要养殖猪和鸡）</w:t>
      </w:r>
      <w:r w:rsidRPr="006812EE">
        <w:rPr>
          <w:rFonts w:hint="eastAsia"/>
          <w:sz w:val="24"/>
          <w:szCs w:val="24"/>
        </w:rPr>
        <w:t>。</w:t>
      </w:r>
      <w:r w:rsidRPr="006812EE">
        <w:rPr>
          <w:sz w:val="24"/>
          <w:szCs w:val="24"/>
        </w:rPr>
        <w:t>经查询资料、现场勘查及人员访谈，了解到地块内无危险废物的堆存</w:t>
      </w:r>
      <w:r w:rsidRPr="006812EE">
        <w:rPr>
          <w:rFonts w:hint="eastAsia"/>
          <w:sz w:val="24"/>
          <w:szCs w:val="24"/>
        </w:rPr>
        <w:t>、处理</w:t>
      </w:r>
      <w:r w:rsidRPr="006812EE">
        <w:rPr>
          <w:sz w:val="24"/>
          <w:szCs w:val="24"/>
        </w:rPr>
        <w:t>，</w:t>
      </w:r>
      <w:r w:rsidRPr="006812EE">
        <w:rPr>
          <w:rFonts w:hint="eastAsia"/>
          <w:sz w:val="24"/>
          <w:szCs w:val="24"/>
        </w:rPr>
        <w:t>也</w:t>
      </w:r>
      <w:r w:rsidRPr="006812EE">
        <w:rPr>
          <w:sz w:val="24"/>
          <w:szCs w:val="24"/>
        </w:rPr>
        <w:t>不存在固体废物和危险废物的填埋或堆放</w:t>
      </w:r>
      <w:r w:rsidRPr="006812EE">
        <w:rPr>
          <w:rFonts w:hint="eastAsia"/>
          <w:sz w:val="24"/>
          <w:szCs w:val="24"/>
        </w:rPr>
        <w:t>；</w:t>
      </w:r>
      <w:r w:rsidRPr="006812EE">
        <w:rPr>
          <w:sz w:val="24"/>
          <w:szCs w:val="24"/>
        </w:rPr>
        <w:t>地块历史上不存在管线、储罐和污水收集管线，地块内无异味，未发现泄露痕迹。</w:t>
      </w:r>
      <w:r w:rsidRPr="006812EE">
        <w:rPr>
          <w:rFonts w:hint="eastAsia"/>
          <w:color w:val="000000"/>
          <w:sz w:val="24"/>
          <w:szCs w:val="24"/>
        </w:rPr>
        <w:t>本次重点关注地块内历史上养殖场对本地块的影响，养殖使用的饲料添加剂涉及部分金属元素（汞、铅、铜、砷、镉、锌、锰、铬等），涉及到的主要潜在特征污染物为：汞、铅、铜、砷、镉、锌、锰、铬等</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t>本地块区域地下水流向为东北向西南；</w:t>
      </w:r>
      <w:r w:rsidRPr="006812EE">
        <w:rPr>
          <w:color w:val="000000"/>
          <w:sz w:val="24"/>
          <w:szCs w:val="24"/>
        </w:rPr>
        <w:t>本地区常年主导风向为</w:t>
      </w:r>
      <w:r w:rsidRPr="006812EE">
        <w:rPr>
          <w:color w:val="000000"/>
          <w:sz w:val="24"/>
          <w:szCs w:val="24"/>
        </w:rPr>
        <w:t>NNE-NE</w:t>
      </w:r>
      <w:r w:rsidRPr="006812EE">
        <w:rPr>
          <w:color w:val="000000"/>
          <w:sz w:val="24"/>
          <w:szCs w:val="24"/>
        </w:rPr>
        <w:t>，夏季盛行东风、东南风，冬季盛行北北东风、东北风</w:t>
      </w:r>
      <w:r w:rsidRPr="006812EE">
        <w:rPr>
          <w:rFonts w:hint="eastAsia"/>
          <w:color w:val="000000"/>
          <w:sz w:val="24"/>
          <w:szCs w:val="24"/>
        </w:rPr>
        <w:t>；周围企业位于地下水流向下游、主导风向下游，对本地块影响较小。</w:t>
      </w:r>
    </w:p>
    <w:p w:rsidR="00E81D97" w:rsidRPr="006812EE" w:rsidRDefault="00E81D97" w:rsidP="00E81D97">
      <w:pPr>
        <w:spacing w:line="360" w:lineRule="auto"/>
        <w:ind w:firstLineChars="200" w:firstLine="480"/>
        <w:rPr>
          <w:color w:val="000000"/>
          <w:sz w:val="24"/>
          <w:szCs w:val="24"/>
        </w:rPr>
      </w:pPr>
      <w:r w:rsidRPr="006812EE">
        <w:rPr>
          <w:rFonts w:hint="eastAsia"/>
          <w:color w:val="000000"/>
          <w:sz w:val="24"/>
          <w:szCs w:val="24"/>
        </w:rPr>
        <w:t>综上所述，根据针对地块内及周边企业生产活动的分析与污染识别情况，地块潜在污染源主要为地块内规模化养殖场。因此，该地块可能涉及的主要特征污染物为汞、铅、铜、砷、镉、锌、锰、铬等，且不涉及放射性污染，应当开展第二阶段土壤污染状况调查。</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t>三、初步采样调查</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t>第二阶段土壤污染状况调查初步采样时间为</w:t>
      </w:r>
      <w:r w:rsidRPr="006812EE">
        <w:rPr>
          <w:rFonts w:hint="eastAsia"/>
          <w:color w:val="000000"/>
          <w:sz w:val="24"/>
          <w:szCs w:val="24"/>
        </w:rPr>
        <w:t>2021</w:t>
      </w:r>
      <w:r w:rsidRPr="006812EE">
        <w:rPr>
          <w:rFonts w:hint="eastAsia"/>
          <w:color w:val="000000"/>
          <w:sz w:val="24"/>
          <w:szCs w:val="24"/>
        </w:rPr>
        <w:t>年</w:t>
      </w:r>
      <w:r w:rsidRPr="006812EE">
        <w:rPr>
          <w:rFonts w:hint="eastAsia"/>
          <w:color w:val="000000"/>
          <w:sz w:val="24"/>
          <w:szCs w:val="24"/>
        </w:rPr>
        <w:t>11</w:t>
      </w:r>
      <w:r w:rsidRPr="006812EE">
        <w:rPr>
          <w:rFonts w:hint="eastAsia"/>
          <w:color w:val="000000"/>
          <w:sz w:val="24"/>
          <w:szCs w:val="24"/>
        </w:rPr>
        <w:t>月</w:t>
      </w:r>
      <w:r w:rsidRPr="006812EE">
        <w:rPr>
          <w:rFonts w:hint="eastAsia"/>
          <w:color w:val="000000"/>
          <w:sz w:val="24"/>
          <w:szCs w:val="24"/>
        </w:rPr>
        <w:t>16</w:t>
      </w:r>
      <w:r w:rsidRPr="006812EE">
        <w:rPr>
          <w:rFonts w:hint="eastAsia"/>
          <w:color w:val="000000"/>
          <w:sz w:val="24"/>
          <w:szCs w:val="24"/>
        </w:rPr>
        <w:t>日，地块内共设</w:t>
      </w:r>
      <w:r w:rsidRPr="006812EE">
        <w:rPr>
          <w:rFonts w:hint="eastAsia"/>
          <w:color w:val="000000"/>
          <w:sz w:val="24"/>
          <w:szCs w:val="24"/>
        </w:rPr>
        <w:t>7</w:t>
      </w:r>
      <w:r w:rsidRPr="006812EE">
        <w:rPr>
          <w:rFonts w:hint="eastAsia"/>
          <w:color w:val="000000"/>
          <w:sz w:val="24"/>
          <w:szCs w:val="24"/>
        </w:rPr>
        <w:t>个土壤监测点位（</w:t>
      </w:r>
      <w:r w:rsidRPr="006812EE">
        <w:rPr>
          <w:rFonts w:hint="eastAsia"/>
          <w:color w:val="000000"/>
          <w:sz w:val="24"/>
          <w:szCs w:val="24"/>
        </w:rPr>
        <w:t>S1~S7</w:t>
      </w:r>
      <w:r w:rsidRPr="006812EE">
        <w:rPr>
          <w:rFonts w:hint="eastAsia"/>
          <w:color w:val="000000"/>
          <w:sz w:val="24"/>
          <w:szCs w:val="24"/>
        </w:rPr>
        <w:t>），地块外设置</w:t>
      </w:r>
      <w:r w:rsidRPr="006812EE">
        <w:rPr>
          <w:rFonts w:hint="eastAsia"/>
          <w:color w:val="000000"/>
          <w:sz w:val="24"/>
          <w:szCs w:val="24"/>
        </w:rPr>
        <w:t>1</w:t>
      </w:r>
      <w:r w:rsidRPr="006812EE">
        <w:rPr>
          <w:rFonts w:hint="eastAsia"/>
          <w:color w:val="000000"/>
          <w:sz w:val="24"/>
          <w:szCs w:val="24"/>
        </w:rPr>
        <w:t>个对照点（</w:t>
      </w:r>
      <w:r w:rsidRPr="006812EE">
        <w:rPr>
          <w:rFonts w:hint="eastAsia"/>
          <w:color w:val="000000"/>
          <w:sz w:val="24"/>
          <w:szCs w:val="24"/>
        </w:rPr>
        <w:t>S8</w:t>
      </w:r>
      <w:r w:rsidRPr="006812EE">
        <w:rPr>
          <w:rFonts w:hint="eastAsia"/>
          <w:color w:val="000000"/>
          <w:sz w:val="24"/>
          <w:szCs w:val="24"/>
        </w:rPr>
        <w:t>），采样深度为</w:t>
      </w:r>
      <w:r w:rsidRPr="006812EE">
        <w:rPr>
          <w:rFonts w:hint="eastAsia"/>
          <w:color w:val="000000"/>
          <w:sz w:val="24"/>
          <w:szCs w:val="24"/>
        </w:rPr>
        <w:t>4.5m</w:t>
      </w:r>
      <w:r w:rsidRPr="006812EE">
        <w:rPr>
          <w:rFonts w:hint="eastAsia"/>
          <w:color w:val="000000"/>
          <w:sz w:val="24"/>
          <w:szCs w:val="24"/>
        </w:rPr>
        <w:t>，</w:t>
      </w:r>
      <w:r w:rsidRPr="006812EE">
        <w:rPr>
          <w:color w:val="000000"/>
          <w:sz w:val="24"/>
          <w:szCs w:val="24"/>
        </w:rPr>
        <w:t>共采集</w:t>
      </w:r>
      <w:r>
        <w:rPr>
          <w:rFonts w:hint="eastAsia"/>
          <w:color w:val="000000"/>
          <w:sz w:val="24"/>
          <w:szCs w:val="24"/>
        </w:rPr>
        <w:t>29</w:t>
      </w:r>
      <w:r w:rsidRPr="006812EE">
        <w:rPr>
          <w:rFonts w:hint="eastAsia"/>
          <w:color w:val="000000"/>
          <w:sz w:val="24"/>
          <w:szCs w:val="24"/>
        </w:rPr>
        <w:t>个土壤样品</w:t>
      </w:r>
      <w:r>
        <w:rPr>
          <w:rFonts w:hint="eastAsia"/>
          <w:color w:val="000000"/>
          <w:sz w:val="24"/>
          <w:szCs w:val="24"/>
        </w:rPr>
        <w:t>、</w:t>
      </w:r>
      <w:r w:rsidRPr="006812EE">
        <w:rPr>
          <w:rFonts w:hint="eastAsia"/>
          <w:color w:val="000000"/>
          <w:sz w:val="24"/>
          <w:szCs w:val="24"/>
        </w:rPr>
        <w:t>3</w:t>
      </w:r>
      <w:r w:rsidRPr="006812EE">
        <w:rPr>
          <w:rFonts w:hint="eastAsia"/>
          <w:color w:val="000000"/>
          <w:sz w:val="24"/>
          <w:szCs w:val="24"/>
        </w:rPr>
        <w:t>个平行样品、</w:t>
      </w:r>
      <w:r w:rsidRPr="006812EE">
        <w:rPr>
          <w:rFonts w:hint="eastAsia"/>
          <w:color w:val="000000"/>
          <w:sz w:val="24"/>
          <w:szCs w:val="24"/>
        </w:rPr>
        <w:t>1</w:t>
      </w:r>
      <w:r w:rsidRPr="006812EE">
        <w:rPr>
          <w:rFonts w:hint="eastAsia"/>
          <w:color w:val="000000"/>
          <w:sz w:val="24"/>
          <w:szCs w:val="24"/>
        </w:rPr>
        <w:t>个全程序空白样品、</w:t>
      </w:r>
      <w:r w:rsidRPr="006812EE">
        <w:rPr>
          <w:rFonts w:hint="eastAsia"/>
          <w:color w:val="000000"/>
          <w:sz w:val="24"/>
          <w:szCs w:val="24"/>
        </w:rPr>
        <w:t>1</w:t>
      </w:r>
      <w:r w:rsidRPr="006812EE">
        <w:rPr>
          <w:rFonts w:hint="eastAsia"/>
          <w:color w:val="000000"/>
          <w:sz w:val="24"/>
          <w:szCs w:val="24"/>
        </w:rPr>
        <w:t>个运输空白样品，检测项目包括</w:t>
      </w:r>
      <w:r w:rsidRPr="006812EE">
        <w:rPr>
          <w:color w:val="000000"/>
          <w:sz w:val="24"/>
          <w:szCs w:val="24"/>
        </w:rPr>
        <w:t>pH</w:t>
      </w:r>
      <w:r w:rsidRPr="006812EE">
        <w:rPr>
          <w:color w:val="000000"/>
          <w:sz w:val="24"/>
          <w:szCs w:val="24"/>
        </w:rPr>
        <w:t>、《土壤环境质量</w:t>
      </w:r>
      <w:r w:rsidRPr="006812EE">
        <w:rPr>
          <w:color w:val="000000"/>
          <w:sz w:val="24"/>
          <w:szCs w:val="24"/>
        </w:rPr>
        <w:t xml:space="preserve"> </w:t>
      </w:r>
      <w:r w:rsidRPr="006812EE">
        <w:rPr>
          <w:color w:val="000000"/>
          <w:sz w:val="24"/>
          <w:szCs w:val="24"/>
        </w:rPr>
        <w:t>建设用地土壤污染风险管控标准》（</w:t>
      </w:r>
      <w:r w:rsidRPr="006812EE">
        <w:rPr>
          <w:color w:val="000000"/>
          <w:sz w:val="24"/>
          <w:szCs w:val="24"/>
        </w:rPr>
        <w:t>GB36600-2018</w:t>
      </w:r>
      <w:r w:rsidRPr="006812EE">
        <w:rPr>
          <w:color w:val="000000"/>
          <w:sz w:val="24"/>
          <w:szCs w:val="24"/>
        </w:rPr>
        <w:t>）表</w:t>
      </w:r>
      <w:r w:rsidRPr="006812EE">
        <w:rPr>
          <w:color w:val="000000"/>
          <w:sz w:val="24"/>
          <w:szCs w:val="24"/>
        </w:rPr>
        <w:t>1</w:t>
      </w:r>
      <w:r w:rsidRPr="006812EE">
        <w:rPr>
          <w:color w:val="000000"/>
          <w:sz w:val="24"/>
          <w:szCs w:val="24"/>
        </w:rPr>
        <w:t>中</w:t>
      </w:r>
      <w:r w:rsidRPr="006812EE">
        <w:rPr>
          <w:color w:val="000000"/>
          <w:sz w:val="24"/>
          <w:szCs w:val="24"/>
        </w:rPr>
        <w:t>45</w:t>
      </w:r>
      <w:r w:rsidRPr="006812EE">
        <w:rPr>
          <w:color w:val="000000"/>
          <w:sz w:val="24"/>
          <w:szCs w:val="24"/>
        </w:rPr>
        <w:t>项基本项目（重金属和无机物、</w:t>
      </w:r>
      <w:r w:rsidRPr="006812EE">
        <w:rPr>
          <w:color w:val="000000"/>
          <w:sz w:val="24"/>
          <w:szCs w:val="24"/>
        </w:rPr>
        <w:t>VOCs</w:t>
      </w:r>
      <w:r w:rsidRPr="006812EE">
        <w:rPr>
          <w:color w:val="000000"/>
          <w:sz w:val="24"/>
          <w:szCs w:val="24"/>
        </w:rPr>
        <w:t>、</w:t>
      </w:r>
      <w:r w:rsidRPr="006812EE">
        <w:rPr>
          <w:color w:val="000000"/>
          <w:sz w:val="24"/>
          <w:szCs w:val="24"/>
        </w:rPr>
        <w:t>SVOCs</w:t>
      </w:r>
      <w:r w:rsidRPr="006812EE">
        <w:rPr>
          <w:color w:val="000000"/>
          <w:sz w:val="24"/>
          <w:szCs w:val="24"/>
        </w:rPr>
        <w:t>）与</w:t>
      </w:r>
      <w:r w:rsidRPr="006812EE">
        <w:rPr>
          <w:rFonts w:hint="eastAsia"/>
          <w:color w:val="000000"/>
          <w:sz w:val="24"/>
          <w:szCs w:val="24"/>
        </w:rPr>
        <w:t>锌、</w:t>
      </w:r>
      <w:r w:rsidRPr="006812EE">
        <w:rPr>
          <w:color w:val="000000"/>
          <w:sz w:val="24"/>
          <w:szCs w:val="24"/>
        </w:rPr>
        <w:t>锰</w:t>
      </w:r>
      <w:r w:rsidRPr="006812EE">
        <w:rPr>
          <w:rFonts w:hint="eastAsia"/>
          <w:color w:val="000000"/>
          <w:sz w:val="24"/>
          <w:szCs w:val="24"/>
        </w:rPr>
        <w:t>、</w:t>
      </w:r>
      <w:r w:rsidRPr="006812EE">
        <w:rPr>
          <w:color w:val="000000"/>
          <w:sz w:val="24"/>
          <w:szCs w:val="24"/>
        </w:rPr>
        <w:t>铬</w:t>
      </w:r>
      <w:r w:rsidRPr="006812EE">
        <w:rPr>
          <w:rFonts w:hint="eastAsia"/>
          <w:color w:val="000000"/>
          <w:sz w:val="24"/>
          <w:szCs w:val="24"/>
        </w:rPr>
        <w:t>3</w:t>
      </w:r>
      <w:r w:rsidRPr="006812EE">
        <w:rPr>
          <w:color w:val="000000"/>
          <w:sz w:val="24"/>
          <w:szCs w:val="24"/>
        </w:rPr>
        <w:t>项</w:t>
      </w:r>
      <w:r w:rsidRPr="006812EE">
        <w:rPr>
          <w:rFonts w:hint="eastAsia"/>
          <w:color w:val="000000"/>
          <w:sz w:val="24"/>
          <w:szCs w:val="24"/>
        </w:rPr>
        <w:t>；地块内设置</w:t>
      </w:r>
      <w:r w:rsidRPr="006812EE">
        <w:rPr>
          <w:rFonts w:hint="eastAsia"/>
          <w:color w:val="000000"/>
          <w:sz w:val="24"/>
          <w:szCs w:val="24"/>
        </w:rPr>
        <w:t>3</w:t>
      </w:r>
      <w:r w:rsidRPr="006812EE">
        <w:rPr>
          <w:rFonts w:hint="eastAsia"/>
          <w:color w:val="000000"/>
          <w:sz w:val="24"/>
          <w:szCs w:val="24"/>
        </w:rPr>
        <w:t>个地下水监测点位（</w:t>
      </w:r>
      <w:r w:rsidRPr="006812EE">
        <w:rPr>
          <w:rFonts w:hint="eastAsia"/>
          <w:color w:val="000000"/>
          <w:sz w:val="24"/>
          <w:szCs w:val="24"/>
        </w:rPr>
        <w:t>W1~W3</w:t>
      </w:r>
      <w:r w:rsidRPr="006812EE">
        <w:rPr>
          <w:rFonts w:hint="eastAsia"/>
          <w:color w:val="000000"/>
          <w:sz w:val="24"/>
          <w:szCs w:val="24"/>
        </w:rPr>
        <w:t>），地块外设置一个对照点（</w:t>
      </w:r>
      <w:r w:rsidRPr="006812EE">
        <w:rPr>
          <w:rFonts w:hint="eastAsia"/>
          <w:color w:val="000000"/>
          <w:sz w:val="24"/>
          <w:szCs w:val="24"/>
        </w:rPr>
        <w:t>W4</w:t>
      </w:r>
      <w:r w:rsidRPr="006812EE">
        <w:rPr>
          <w:rFonts w:hint="eastAsia"/>
          <w:color w:val="000000"/>
          <w:sz w:val="24"/>
          <w:szCs w:val="24"/>
        </w:rPr>
        <w:t>），井深为</w:t>
      </w:r>
      <w:r w:rsidRPr="006812EE">
        <w:rPr>
          <w:rFonts w:hint="eastAsia"/>
          <w:color w:val="000000"/>
          <w:sz w:val="24"/>
          <w:szCs w:val="24"/>
        </w:rPr>
        <w:t>6m</w:t>
      </w:r>
      <w:r w:rsidRPr="006812EE">
        <w:rPr>
          <w:rFonts w:hint="eastAsia"/>
          <w:color w:val="000000"/>
          <w:sz w:val="24"/>
          <w:szCs w:val="24"/>
        </w:rPr>
        <w:t>，采集</w:t>
      </w:r>
      <w:r>
        <w:rPr>
          <w:rFonts w:hint="eastAsia"/>
          <w:color w:val="000000"/>
          <w:sz w:val="24"/>
          <w:szCs w:val="24"/>
        </w:rPr>
        <w:t>4</w:t>
      </w:r>
      <w:r w:rsidRPr="006812EE">
        <w:rPr>
          <w:rFonts w:hint="eastAsia"/>
          <w:color w:val="000000"/>
          <w:sz w:val="24"/>
          <w:szCs w:val="24"/>
        </w:rPr>
        <w:t>个地下水样品</w:t>
      </w:r>
      <w:r>
        <w:rPr>
          <w:rFonts w:hint="eastAsia"/>
          <w:color w:val="000000"/>
          <w:sz w:val="24"/>
          <w:szCs w:val="24"/>
        </w:rPr>
        <w:t>、</w:t>
      </w:r>
      <w:r w:rsidRPr="006812EE">
        <w:rPr>
          <w:rFonts w:hint="eastAsia"/>
          <w:color w:val="000000"/>
          <w:sz w:val="24"/>
          <w:szCs w:val="24"/>
        </w:rPr>
        <w:t>1</w:t>
      </w:r>
      <w:r w:rsidRPr="006812EE">
        <w:rPr>
          <w:rFonts w:hint="eastAsia"/>
          <w:color w:val="000000"/>
          <w:sz w:val="24"/>
          <w:szCs w:val="24"/>
        </w:rPr>
        <w:t>个平行样品、</w:t>
      </w:r>
      <w:r w:rsidRPr="006812EE">
        <w:rPr>
          <w:rFonts w:hint="eastAsia"/>
          <w:color w:val="000000"/>
          <w:sz w:val="24"/>
          <w:szCs w:val="24"/>
        </w:rPr>
        <w:t>1</w:t>
      </w:r>
      <w:r w:rsidRPr="006812EE">
        <w:rPr>
          <w:rFonts w:hint="eastAsia"/>
          <w:color w:val="000000"/>
          <w:sz w:val="24"/>
          <w:szCs w:val="24"/>
        </w:rPr>
        <w:t>个全程序空白样品、</w:t>
      </w:r>
      <w:r w:rsidRPr="006812EE">
        <w:rPr>
          <w:rFonts w:hint="eastAsia"/>
          <w:color w:val="000000"/>
          <w:sz w:val="24"/>
          <w:szCs w:val="24"/>
        </w:rPr>
        <w:t>1</w:t>
      </w:r>
      <w:r w:rsidRPr="006812EE">
        <w:rPr>
          <w:rFonts w:hint="eastAsia"/>
          <w:color w:val="000000"/>
          <w:sz w:val="24"/>
          <w:szCs w:val="24"/>
        </w:rPr>
        <w:t>个运输空白样品，检测项目包括《地下水质量标准》（</w:t>
      </w:r>
      <w:r w:rsidRPr="006812EE">
        <w:rPr>
          <w:rFonts w:hint="eastAsia"/>
          <w:color w:val="000000"/>
          <w:sz w:val="24"/>
          <w:szCs w:val="24"/>
        </w:rPr>
        <w:t>GB/T 14848-2017</w:t>
      </w:r>
      <w:r w:rsidRPr="006812EE">
        <w:rPr>
          <w:rFonts w:hint="eastAsia"/>
          <w:color w:val="000000"/>
          <w:sz w:val="24"/>
          <w:szCs w:val="24"/>
        </w:rPr>
        <w:t>）表</w:t>
      </w:r>
      <w:r w:rsidRPr="006812EE">
        <w:rPr>
          <w:rFonts w:hint="eastAsia"/>
          <w:color w:val="000000"/>
          <w:sz w:val="24"/>
          <w:szCs w:val="24"/>
        </w:rPr>
        <w:t>1</w:t>
      </w:r>
      <w:r w:rsidRPr="006812EE">
        <w:rPr>
          <w:rFonts w:hint="eastAsia"/>
          <w:color w:val="000000"/>
          <w:sz w:val="24"/>
          <w:szCs w:val="24"/>
        </w:rPr>
        <w:t>中</w:t>
      </w:r>
      <w:r w:rsidRPr="006812EE">
        <w:rPr>
          <w:rFonts w:hint="eastAsia"/>
          <w:color w:val="000000"/>
          <w:sz w:val="24"/>
          <w:szCs w:val="24"/>
        </w:rPr>
        <w:t>37</w:t>
      </w:r>
      <w:r w:rsidRPr="006812EE">
        <w:rPr>
          <w:rFonts w:hint="eastAsia"/>
          <w:color w:val="000000"/>
          <w:sz w:val="24"/>
          <w:szCs w:val="24"/>
        </w:rPr>
        <w:t>项常规指标及铬</w:t>
      </w:r>
      <w:r w:rsidRPr="006812EE">
        <w:rPr>
          <w:rFonts w:hint="eastAsia"/>
          <w:color w:val="000000"/>
          <w:sz w:val="24"/>
          <w:szCs w:val="24"/>
        </w:rPr>
        <w:t>1</w:t>
      </w:r>
      <w:r w:rsidRPr="006812EE">
        <w:rPr>
          <w:rFonts w:hint="eastAsia"/>
          <w:color w:val="000000"/>
          <w:sz w:val="24"/>
          <w:szCs w:val="24"/>
        </w:rPr>
        <w:t>项。</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t>根据样品检测分析结果：</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lastRenderedPageBreak/>
        <w:t>（一）地块内土壤样品中：</w:t>
      </w:r>
      <w:r w:rsidRPr="006812EE">
        <w:rPr>
          <w:color w:val="000000"/>
          <w:sz w:val="24"/>
          <w:szCs w:val="24"/>
        </w:rPr>
        <w:t>根据土壤样品检测结果可知，所采集的地块内</w:t>
      </w:r>
      <w:r w:rsidRPr="006812EE">
        <w:rPr>
          <w:rFonts w:hint="eastAsia"/>
          <w:color w:val="000000"/>
          <w:sz w:val="24"/>
          <w:szCs w:val="24"/>
        </w:rPr>
        <w:t>7</w:t>
      </w:r>
      <w:r w:rsidRPr="006812EE">
        <w:rPr>
          <w:color w:val="000000"/>
          <w:sz w:val="24"/>
          <w:szCs w:val="24"/>
        </w:rPr>
        <w:t>个点位的土壤样品和</w:t>
      </w:r>
      <w:r w:rsidRPr="006812EE">
        <w:rPr>
          <w:color w:val="000000"/>
          <w:sz w:val="24"/>
          <w:szCs w:val="24"/>
        </w:rPr>
        <w:t>1</w:t>
      </w:r>
      <w:r w:rsidRPr="006812EE">
        <w:rPr>
          <w:color w:val="000000"/>
          <w:sz w:val="24"/>
          <w:szCs w:val="24"/>
        </w:rPr>
        <w:t>个对照点的土壤样品中重金属</w:t>
      </w:r>
      <w:r w:rsidRPr="006812EE">
        <w:rPr>
          <w:rFonts w:hint="eastAsia"/>
          <w:color w:val="000000"/>
          <w:sz w:val="24"/>
          <w:szCs w:val="24"/>
        </w:rPr>
        <w:t>6</w:t>
      </w:r>
      <w:r w:rsidRPr="006812EE">
        <w:rPr>
          <w:rFonts w:hint="eastAsia"/>
          <w:color w:val="000000"/>
          <w:sz w:val="24"/>
          <w:szCs w:val="24"/>
        </w:rPr>
        <w:t>项</w:t>
      </w:r>
      <w:r w:rsidRPr="006812EE">
        <w:rPr>
          <w:color w:val="000000"/>
          <w:sz w:val="24"/>
          <w:szCs w:val="24"/>
        </w:rPr>
        <w:t>以及</w:t>
      </w:r>
      <w:r w:rsidRPr="006812EE">
        <w:rPr>
          <w:rFonts w:hint="eastAsia"/>
          <w:color w:val="000000"/>
          <w:sz w:val="24"/>
          <w:szCs w:val="24"/>
        </w:rPr>
        <w:t>锌、</w:t>
      </w:r>
      <w:r w:rsidRPr="006812EE">
        <w:rPr>
          <w:color w:val="000000"/>
          <w:sz w:val="24"/>
          <w:szCs w:val="24"/>
        </w:rPr>
        <w:t>锰</w:t>
      </w:r>
      <w:r w:rsidRPr="006812EE">
        <w:rPr>
          <w:rFonts w:hint="eastAsia"/>
          <w:color w:val="000000"/>
          <w:sz w:val="24"/>
          <w:szCs w:val="24"/>
        </w:rPr>
        <w:t>、</w:t>
      </w:r>
      <w:r w:rsidRPr="006812EE">
        <w:rPr>
          <w:color w:val="000000"/>
          <w:sz w:val="24"/>
          <w:szCs w:val="24"/>
        </w:rPr>
        <w:t>铬均有检出，</w:t>
      </w:r>
      <w:r w:rsidRPr="006812EE">
        <w:rPr>
          <w:rFonts w:hint="eastAsia"/>
          <w:color w:val="000000"/>
          <w:sz w:val="24"/>
          <w:szCs w:val="24"/>
        </w:rPr>
        <w:t>六价铬、挥发性有机物</w:t>
      </w:r>
      <w:r w:rsidRPr="006812EE">
        <w:rPr>
          <w:rFonts w:hint="eastAsia"/>
          <w:color w:val="000000"/>
          <w:sz w:val="24"/>
          <w:szCs w:val="24"/>
        </w:rPr>
        <w:t>27</w:t>
      </w:r>
      <w:r w:rsidRPr="006812EE">
        <w:rPr>
          <w:rFonts w:hint="eastAsia"/>
          <w:color w:val="000000"/>
          <w:sz w:val="24"/>
          <w:szCs w:val="24"/>
        </w:rPr>
        <w:t>项及半挥发性有机物</w:t>
      </w:r>
      <w:r w:rsidRPr="006812EE">
        <w:rPr>
          <w:rFonts w:hint="eastAsia"/>
          <w:color w:val="000000"/>
          <w:sz w:val="24"/>
          <w:szCs w:val="24"/>
        </w:rPr>
        <w:t>11</w:t>
      </w:r>
      <w:r w:rsidRPr="006812EE">
        <w:rPr>
          <w:rFonts w:hint="eastAsia"/>
          <w:color w:val="000000"/>
          <w:sz w:val="24"/>
          <w:szCs w:val="24"/>
        </w:rPr>
        <w:t>项</w:t>
      </w:r>
      <w:r w:rsidRPr="006812EE">
        <w:rPr>
          <w:color w:val="000000"/>
          <w:sz w:val="24"/>
          <w:szCs w:val="24"/>
        </w:rPr>
        <w:t>均未检出</w:t>
      </w:r>
      <w:r w:rsidRPr="006812EE">
        <w:rPr>
          <w:rFonts w:hint="eastAsia"/>
          <w:color w:val="000000"/>
          <w:sz w:val="24"/>
          <w:szCs w:val="24"/>
        </w:rPr>
        <w:t>。</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t>重金属</w:t>
      </w:r>
      <w:r w:rsidRPr="006812EE">
        <w:rPr>
          <w:rFonts w:hint="eastAsia"/>
          <w:color w:val="000000"/>
          <w:sz w:val="24"/>
          <w:szCs w:val="24"/>
        </w:rPr>
        <w:t>6</w:t>
      </w:r>
      <w:r w:rsidRPr="006812EE">
        <w:rPr>
          <w:rFonts w:hint="eastAsia"/>
          <w:color w:val="000000"/>
          <w:sz w:val="24"/>
          <w:szCs w:val="24"/>
        </w:rPr>
        <w:t>项</w:t>
      </w:r>
      <w:r w:rsidRPr="006812EE">
        <w:rPr>
          <w:color w:val="000000"/>
          <w:sz w:val="24"/>
          <w:szCs w:val="24"/>
        </w:rPr>
        <w:t>检测结果均小于</w:t>
      </w:r>
      <w:r w:rsidRPr="006812EE">
        <w:rPr>
          <w:color w:val="000000"/>
          <w:sz w:val="24"/>
          <w:szCs w:val="24"/>
        </w:rPr>
        <w:t>GB36600-2018</w:t>
      </w:r>
      <w:r w:rsidRPr="006812EE">
        <w:rPr>
          <w:color w:val="000000"/>
          <w:sz w:val="24"/>
          <w:szCs w:val="24"/>
        </w:rPr>
        <w:t>中第</w:t>
      </w:r>
      <w:r w:rsidRPr="006812EE">
        <w:rPr>
          <w:rFonts w:hint="eastAsia"/>
          <w:color w:val="000000"/>
          <w:sz w:val="24"/>
          <w:szCs w:val="24"/>
        </w:rPr>
        <w:t>一</w:t>
      </w:r>
      <w:r w:rsidRPr="006812EE">
        <w:rPr>
          <w:color w:val="000000"/>
          <w:sz w:val="24"/>
          <w:szCs w:val="24"/>
        </w:rPr>
        <w:t>类用地的筛选值的限值</w:t>
      </w:r>
      <w:r w:rsidRPr="006812EE">
        <w:rPr>
          <w:rFonts w:hint="eastAsia"/>
          <w:color w:val="000000"/>
          <w:sz w:val="24"/>
          <w:szCs w:val="24"/>
        </w:rPr>
        <w:t>；锌、锰</w:t>
      </w:r>
      <w:r w:rsidRPr="006812EE">
        <w:rPr>
          <w:color w:val="000000"/>
          <w:sz w:val="24"/>
          <w:szCs w:val="24"/>
        </w:rPr>
        <w:t>检测结果均小于</w:t>
      </w:r>
      <w:r w:rsidRPr="006812EE">
        <w:rPr>
          <w:rFonts w:hint="eastAsia"/>
          <w:color w:val="000000"/>
          <w:sz w:val="24"/>
          <w:szCs w:val="24"/>
        </w:rPr>
        <w:t>采用《建设用地土壤污染风险评估技术导则》（</w:t>
      </w:r>
      <w:r w:rsidRPr="006812EE">
        <w:rPr>
          <w:rFonts w:hint="eastAsia"/>
          <w:color w:val="000000"/>
          <w:sz w:val="24"/>
          <w:szCs w:val="24"/>
        </w:rPr>
        <w:t>HJ 25.3-2019</w:t>
      </w:r>
      <w:r w:rsidRPr="006812EE">
        <w:rPr>
          <w:rFonts w:hint="eastAsia"/>
          <w:color w:val="000000"/>
          <w:sz w:val="24"/>
          <w:szCs w:val="24"/>
        </w:rPr>
        <w:t>）中技术要求推导的土壤污染风险控制值；铬小于深圳市地方标准《建设用地土壤污染风险筛选值和管制值》（</w:t>
      </w:r>
      <w:r w:rsidRPr="006812EE">
        <w:rPr>
          <w:rFonts w:hint="eastAsia"/>
          <w:color w:val="000000"/>
          <w:sz w:val="24"/>
          <w:szCs w:val="24"/>
        </w:rPr>
        <w:t>DB4403/T 67-2020</w:t>
      </w:r>
      <w:r w:rsidRPr="006812EE">
        <w:rPr>
          <w:rFonts w:hint="eastAsia"/>
          <w:color w:val="000000"/>
          <w:sz w:val="24"/>
          <w:szCs w:val="24"/>
        </w:rPr>
        <w:t>）第一类用地筛选值；</w:t>
      </w:r>
      <w:r w:rsidRPr="006812EE">
        <w:rPr>
          <w:color w:val="000000"/>
          <w:sz w:val="24"/>
          <w:szCs w:val="24"/>
        </w:rPr>
        <w:t>pH</w:t>
      </w:r>
      <w:r w:rsidRPr="006812EE">
        <w:rPr>
          <w:color w:val="000000"/>
          <w:sz w:val="24"/>
          <w:szCs w:val="24"/>
        </w:rPr>
        <w:t>值测定范围</w:t>
      </w:r>
      <w:r w:rsidRPr="006812EE">
        <w:rPr>
          <w:color w:val="000000"/>
          <w:sz w:val="24"/>
          <w:szCs w:val="24"/>
        </w:rPr>
        <w:t>7.</w:t>
      </w:r>
      <w:r w:rsidRPr="006812EE">
        <w:rPr>
          <w:rFonts w:hint="eastAsia"/>
          <w:color w:val="000000"/>
          <w:sz w:val="24"/>
          <w:szCs w:val="24"/>
        </w:rPr>
        <w:t>04</w:t>
      </w:r>
      <w:r w:rsidRPr="006812EE">
        <w:rPr>
          <w:color w:val="000000"/>
          <w:sz w:val="24"/>
          <w:szCs w:val="24"/>
        </w:rPr>
        <w:t>~</w:t>
      </w:r>
      <w:r w:rsidRPr="006812EE">
        <w:rPr>
          <w:rFonts w:hint="eastAsia"/>
          <w:color w:val="000000"/>
          <w:sz w:val="24"/>
          <w:szCs w:val="24"/>
        </w:rPr>
        <w:t>7.95</w:t>
      </w:r>
      <w:r w:rsidRPr="006812EE">
        <w:rPr>
          <w:color w:val="000000"/>
          <w:sz w:val="24"/>
          <w:szCs w:val="24"/>
        </w:rPr>
        <w:t>，对照点</w:t>
      </w:r>
      <w:r w:rsidRPr="006812EE">
        <w:rPr>
          <w:color w:val="000000"/>
          <w:sz w:val="24"/>
          <w:szCs w:val="24"/>
        </w:rPr>
        <w:t>pH</w:t>
      </w:r>
      <w:r w:rsidRPr="006812EE">
        <w:rPr>
          <w:color w:val="000000"/>
          <w:sz w:val="24"/>
          <w:szCs w:val="24"/>
        </w:rPr>
        <w:t>值为</w:t>
      </w:r>
      <w:r w:rsidRPr="006812EE">
        <w:rPr>
          <w:rFonts w:hint="eastAsia"/>
          <w:color w:val="000000"/>
          <w:sz w:val="24"/>
          <w:szCs w:val="24"/>
        </w:rPr>
        <w:t>7.82</w:t>
      </w:r>
      <w:r w:rsidRPr="006812EE">
        <w:rPr>
          <w:color w:val="000000"/>
          <w:sz w:val="24"/>
          <w:szCs w:val="24"/>
        </w:rPr>
        <w:t>，无明显差异且均在正常范围内</w:t>
      </w:r>
      <w:r w:rsidRPr="006812EE">
        <w:rPr>
          <w:rFonts w:hint="eastAsia"/>
          <w:color w:val="000000"/>
          <w:sz w:val="24"/>
          <w:szCs w:val="24"/>
        </w:rPr>
        <w:t>。</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t>（二）地块内地下水样品中：</w:t>
      </w:r>
      <w:r w:rsidRPr="006812EE">
        <w:rPr>
          <w:color w:val="000000"/>
          <w:sz w:val="24"/>
          <w:szCs w:val="24"/>
        </w:rPr>
        <w:t>本地块地下水样品中</w:t>
      </w:r>
      <w:r w:rsidRPr="006812EE">
        <w:rPr>
          <w:rFonts w:hint="eastAsia"/>
          <w:color w:val="000000"/>
          <w:sz w:val="24"/>
          <w:szCs w:val="24"/>
        </w:rPr>
        <w:t>色（度）、嗅和味、铜、挥发性酚类（以苯酚计）、阴离子表面活性剂、硫化物、总大肠菌群、氰化物、碘化物、汞、硒、镉、铬（六价）、三氯甲烷、四氯化碳、苯、甲苯、铬</w:t>
      </w:r>
      <w:r w:rsidRPr="006812EE">
        <w:rPr>
          <w:color w:val="000000"/>
          <w:sz w:val="24"/>
          <w:szCs w:val="24"/>
        </w:rPr>
        <w:t>均未检出，其余各检出指标</w:t>
      </w:r>
      <w:r w:rsidRPr="006812EE">
        <w:rPr>
          <w:rFonts w:hint="eastAsia"/>
          <w:color w:val="000000"/>
          <w:sz w:val="24"/>
          <w:szCs w:val="24"/>
        </w:rPr>
        <w:t>除浊度、肉眼可见物外</w:t>
      </w:r>
      <w:r w:rsidRPr="006812EE">
        <w:rPr>
          <w:color w:val="000000"/>
          <w:sz w:val="24"/>
          <w:szCs w:val="24"/>
        </w:rPr>
        <w:t>均满足《地下水质量标准》（</w:t>
      </w:r>
      <w:r w:rsidRPr="006812EE">
        <w:rPr>
          <w:color w:val="000000"/>
          <w:sz w:val="24"/>
          <w:szCs w:val="24"/>
        </w:rPr>
        <w:t>GB/T 14848-2017</w:t>
      </w:r>
      <w:r w:rsidRPr="006812EE">
        <w:rPr>
          <w:color w:val="000000"/>
          <w:sz w:val="24"/>
          <w:szCs w:val="24"/>
        </w:rPr>
        <w:t>）表</w:t>
      </w:r>
      <w:r w:rsidRPr="006812EE">
        <w:rPr>
          <w:color w:val="000000"/>
          <w:sz w:val="24"/>
          <w:szCs w:val="24"/>
        </w:rPr>
        <w:t>1</w:t>
      </w:r>
      <w:r w:rsidRPr="006812EE">
        <w:rPr>
          <w:color w:val="000000"/>
          <w:sz w:val="24"/>
          <w:szCs w:val="24"/>
        </w:rPr>
        <w:t>中</w:t>
      </w:r>
      <w:r w:rsidRPr="006812EE">
        <w:rPr>
          <w:rFonts w:hint="eastAsia"/>
          <w:color w:val="000000"/>
          <w:sz w:val="24"/>
          <w:szCs w:val="24"/>
        </w:rPr>
        <w:t>Ⅵ</w:t>
      </w:r>
      <w:r w:rsidRPr="006812EE">
        <w:rPr>
          <w:color w:val="000000"/>
          <w:sz w:val="24"/>
          <w:szCs w:val="24"/>
        </w:rPr>
        <w:t>类水质标准要求</w:t>
      </w:r>
      <w:r w:rsidRPr="006812EE">
        <w:rPr>
          <w:rFonts w:hint="eastAsia"/>
          <w:color w:val="000000"/>
          <w:sz w:val="24"/>
          <w:szCs w:val="24"/>
        </w:rPr>
        <w:t>。浊度、肉眼可见物非有毒有害污染物，对人体健康风险可接受，不需开展详细调查。</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t>四、初步调查结论</w:t>
      </w:r>
    </w:p>
    <w:p w:rsidR="00E81D97" w:rsidRPr="006812EE" w:rsidRDefault="00E81D97" w:rsidP="00E81D97">
      <w:pPr>
        <w:widowControl/>
        <w:spacing w:line="360" w:lineRule="auto"/>
        <w:ind w:firstLineChars="200" w:firstLine="480"/>
        <w:jc w:val="left"/>
        <w:rPr>
          <w:color w:val="000000"/>
          <w:sz w:val="24"/>
          <w:szCs w:val="24"/>
        </w:rPr>
      </w:pPr>
      <w:r w:rsidRPr="006812EE">
        <w:rPr>
          <w:rFonts w:hint="eastAsia"/>
          <w:color w:val="000000"/>
          <w:sz w:val="24"/>
          <w:szCs w:val="24"/>
        </w:rPr>
        <w:t>综上，调查地块土壤样品样品无超筛选值情况，地下水样品超标污染物（浊度、肉眼可见物）非有毒有害污染物，对人体健康风险可接受，调查活动可以结束，调查地块作为</w:t>
      </w:r>
      <w:r w:rsidRPr="006812EE">
        <w:rPr>
          <w:color w:val="000000"/>
          <w:sz w:val="24"/>
          <w:szCs w:val="24"/>
        </w:rPr>
        <w:t>二类居住用地（</w:t>
      </w:r>
      <w:r w:rsidRPr="006812EE">
        <w:rPr>
          <w:color w:val="000000"/>
          <w:sz w:val="24"/>
          <w:szCs w:val="24"/>
        </w:rPr>
        <w:t>R2</w:t>
      </w:r>
      <w:r w:rsidRPr="006812EE">
        <w:rPr>
          <w:color w:val="000000"/>
          <w:sz w:val="24"/>
          <w:szCs w:val="24"/>
        </w:rPr>
        <w:t>：二类居住用地是指设施较齐全、环境良好，以多、中、高层住宅为主的用地）及商业用地（</w:t>
      </w:r>
      <w:r w:rsidRPr="006812EE">
        <w:rPr>
          <w:color w:val="000000"/>
          <w:sz w:val="24"/>
          <w:szCs w:val="24"/>
        </w:rPr>
        <w:t>B1</w:t>
      </w:r>
      <w:r w:rsidRPr="006812EE">
        <w:rPr>
          <w:color w:val="000000"/>
          <w:sz w:val="24"/>
          <w:szCs w:val="24"/>
        </w:rPr>
        <w:t>：商业及餐饮、旅馆等服务业用地）</w:t>
      </w:r>
      <w:r w:rsidRPr="006812EE">
        <w:rPr>
          <w:rFonts w:hint="eastAsia"/>
          <w:color w:val="000000"/>
          <w:sz w:val="24"/>
          <w:szCs w:val="24"/>
        </w:rPr>
        <w:t>进行开发建设的人体健康风险可接受。</w:t>
      </w:r>
    </w:p>
    <w:p w:rsidR="00335483" w:rsidRPr="006601A7" w:rsidRDefault="00E81D97" w:rsidP="00E81D97">
      <w:pPr>
        <w:spacing w:line="360" w:lineRule="auto"/>
        <w:ind w:leftChars="-135" w:left="-283" w:rightChars="-94" w:right="-197" w:firstLineChars="200" w:firstLine="480"/>
        <w:rPr>
          <w:rFonts w:eastAsiaTheme="minorEastAsia"/>
          <w:sz w:val="24"/>
          <w:szCs w:val="24"/>
        </w:rPr>
      </w:pPr>
      <w:r w:rsidRPr="006812EE">
        <w:rPr>
          <w:rFonts w:hint="eastAsia"/>
          <w:color w:val="000000"/>
          <w:sz w:val="24"/>
          <w:szCs w:val="24"/>
        </w:rPr>
        <w:t>根据本次调查结果，本地块不属于污染地块，无需开展后续下一步详细调查和风险评估工作，地块土壤污染状况调查至本阶段可以结束。</w:t>
      </w:r>
    </w:p>
    <w:p w:rsidR="008941A1" w:rsidRPr="006601A7" w:rsidRDefault="008941A1" w:rsidP="008941A1">
      <w:pPr>
        <w:spacing w:line="360" w:lineRule="auto"/>
        <w:ind w:leftChars="-135" w:left="-283" w:rightChars="-94" w:right="-197" w:firstLineChars="200" w:firstLine="480"/>
        <w:rPr>
          <w:rFonts w:eastAsiaTheme="minorEastAsia"/>
          <w:sz w:val="24"/>
          <w:szCs w:val="24"/>
        </w:rPr>
      </w:pPr>
    </w:p>
    <w:p w:rsidR="00A674D2" w:rsidRPr="006601A7" w:rsidRDefault="00A674D2" w:rsidP="008941A1">
      <w:pPr>
        <w:spacing w:line="360" w:lineRule="auto"/>
        <w:ind w:leftChars="-135" w:left="-283" w:rightChars="-94" w:right="-197" w:firstLineChars="200" w:firstLine="480"/>
        <w:rPr>
          <w:rFonts w:eastAsiaTheme="minorEastAsia"/>
          <w:sz w:val="24"/>
          <w:szCs w:val="24"/>
        </w:rPr>
      </w:pPr>
    </w:p>
    <w:p w:rsidR="008941A1" w:rsidRPr="008941A1" w:rsidRDefault="008941A1" w:rsidP="008941A1">
      <w:pPr>
        <w:spacing w:line="360" w:lineRule="auto"/>
        <w:ind w:leftChars="-135" w:left="-283" w:rightChars="-94" w:right="-197" w:firstLineChars="200" w:firstLine="480"/>
        <w:jc w:val="right"/>
        <w:rPr>
          <w:sz w:val="24"/>
          <w:szCs w:val="24"/>
        </w:rPr>
      </w:pPr>
      <w:r>
        <w:rPr>
          <w:rFonts w:hint="eastAsia"/>
          <w:sz w:val="24"/>
          <w:szCs w:val="24"/>
        </w:rPr>
        <w:t>青岛谱尼测试有限公司</w:t>
      </w:r>
    </w:p>
    <w:p w:rsidR="008941A1" w:rsidRPr="00AF0533" w:rsidRDefault="008941A1" w:rsidP="008941A1">
      <w:pPr>
        <w:spacing w:line="360" w:lineRule="auto"/>
        <w:ind w:leftChars="-135" w:left="-283" w:rightChars="-94" w:right="-197" w:firstLineChars="200" w:firstLine="480"/>
        <w:jc w:val="right"/>
      </w:pPr>
      <w:r w:rsidRPr="008941A1">
        <w:rPr>
          <w:rFonts w:hint="eastAsia"/>
          <w:sz w:val="24"/>
          <w:szCs w:val="24"/>
        </w:rPr>
        <w:t>202</w:t>
      </w:r>
      <w:r>
        <w:rPr>
          <w:rFonts w:hint="eastAsia"/>
          <w:sz w:val="24"/>
          <w:szCs w:val="24"/>
        </w:rPr>
        <w:t>1</w:t>
      </w:r>
      <w:r w:rsidRPr="008941A1">
        <w:rPr>
          <w:rFonts w:hint="eastAsia"/>
          <w:sz w:val="24"/>
          <w:szCs w:val="24"/>
        </w:rPr>
        <w:t>年</w:t>
      </w:r>
      <w:r w:rsidR="00E81D97">
        <w:rPr>
          <w:rFonts w:hint="eastAsia"/>
          <w:sz w:val="24"/>
          <w:szCs w:val="24"/>
        </w:rPr>
        <w:t>12</w:t>
      </w:r>
      <w:r w:rsidRPr="008941A1">
        <w:rPr>
          <w:rFonts w:hint="eastAsia"/>
          <w:sz w:val="24"/>
          <w:szCs w:val="24"/>
        </w:rPr>
        <w:t>月</w:t>
      </w:r>
      <w:r w:rsidR="00E81D97">
        <w:rPr>
          <w:rFonts w:hint="eastAsia"/>
          <w:sz w:val="24"/>
          <w:szCs w:val="24"/>
        </w:rPr>
        <w:t>30</w:t>
      </w:r>
      <w:bookmarkStart w:id="0" w:name="_GoBack"/>
      <w:bookmarkEnd w:id="0"/>
      <w:r w:rsidRPr="008941A1">
        <w:rPr>
          <w:rFonts w:hint="eastAsia"/>
          <w:sz w:val="24"/>
          <w:szCs w:val="24"/>
        </w:rPr>
        <w:t>日</w:t>
      </w:r>
    </w:p>
    <w:sectPr w:rsidR="008941A1" w:rsidRPr="00AF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B0" w:rsidRDefault="005B18B0" w:rsidP="00AF0533">
      <w:r>
        <w:separator/>
      </w:r>
    </w:p>
  </w:endnote>
  <w:endnote w:type="continuationSeparator" w:id="0">
    <w:p w:rsidR="005B18B0" w:rsidRDefault="005B18B0" w:rsidP="00A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B0" w:rsidRDefault="005B18B0" w:rsidP="00AF0533">
      <w:r>
        <w:separator/>
      </w:r>
    </w:p>
  </w:footnote>
  <w:footnote w:type="continuationSeparator" w:id="0">
    <w:p w:rsidR="005B18B0" w:rsidRDefault="005B18B0" w:rsidP="00AF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4D"/>
    <w:rsid w:val="000F28D7"/>
    <w:rsid w:val="00144710"/>
    <w:rsid w:val="001961AF"/>
    <w:rsid w:val="001F11A4"/>
    <w:rsid w:val="002206A7"/>
    <w:rsid w:val="00304E8F"/>
    <w:rsid w:val="00425823"/>
    <w:rsid w:val="004E0C14"/>
    <w:rsid w:val="00582E4D"/>
    <w:rsid w:val="00595490"/>
    <w:rsid w:val="005A230C"/>
    <w:rsid w:val="005B18B0"/>
    <w:rsid w:val="0061171A"/>
    <w:rsid w:val="00611AFC"/>
    <w:rsid w:val="0062327E"/>
    <w:rsid w:val="006601A7"/>
    <w:rsid w:val="00687368"/>
    <w:rsid w:val="006900B2"/>
    <w:rsid w:val="006C6372"/>
    <w:rsid w:val="006C7F56"/>
    <w:rsid w:val="007807F2"/>
    <w:rsid w:val="00784A06"/>
    <w:rsid w:val="008154BE"/>
    <w:rsid w:val="0083129B"/>
    <w:rsid w:val="0088358F"/>
    <w:rsid w:val="008941A1"/>
    <w:rsid w:val="008A2279"/>
    <w:rsid w:val="008F234F"/>
    <w:rsid w:val="00900A38"/>
    <w:rsid w:val="00974FF6"/>
    <w:rsid w:val="009B0A72"/>
    <w:rsid w:val="009C10C8"/>
    <w:rsid w:val="009F0127"/>
    <w:rsid w:val="009F0355"/>
    <w:rsid w:val="00A109CC"/>
    <w:rsid w:val="00A36AAB"/>
    <w:rsid w:val="00A634A7"/>
    <w:rsid w:val="00A674D2"/>
    <w:rsid w:val="00A80CC7"/>
    <w:rsid w:val="00AF0533"/>
    <w:rsid w:val="00AF05A3"/>
    <w:rsid w:val="00B418BC"/>
    <w:rsid w:val="00B649FF"/>
    <w:rsid w:val="00DB3793"/>
    <w:rsid w:val="00E622A1"/>
    <w:rsid w:val="00E81D97"/>
    <w:rsid w:val="00E9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color w:val="000000" w:themeColor="text1"/>
        <w:kern w:val="2"/>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33"/>
    <w:pPr>
      <w:widowControl w:val="0"/>
      <w:jc w:val="both"/>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533"/>
    <w:rPr>
      <w:sz w:val="18"/>
      <w:szCs w:val="18"/>
    </w:rPr>
  </w:style>
  <w:style w:type="paragraph" w:styleId="a4">
    <w:name w:val="footer"/>
    <w:basedOn w:val="a"/>
    <w:link w:val="Char0"/>
    <w:uiPriority w:val="99"/>
    <w:unhideWhenUsed/>
    <w:rsid w:val="00AF0533"/>
    <w:pPr>
      <w:tabs>
        <w:tab w:val="center" w:pos="4153"/>
        <w:tab w:val="right" w:pos="8306"/>
      </w:tabs>
      <w:snapToGrid w:val="0"/>
      <w:jc w:val="left"/>
    </w:pPr>
    <w:rPr>
      <w:sz w:val="18"/>
      <w:szCs w:val="18"/>
    </w:rPr>
  </w:style>
  <w:style w:type="character" w:customStyle="1" w:styleId="Char0">
    <w:name w:val="页脚 Char"/>
    <w:basedOn w:val="a0"/>
    <w:link w:val="a4"/>
    <w:uiPriority w:val="99"/>
    <w:rsid w:val="00AF0533"/>
    <w:rPr>
      <w:sz w:val="18"/>
      <w:szCs w:val="18"/>
    </w:rPr>
  </w:style>
  <w:style w:type="paragraph" w:customStyle="1" w:styleId="a5">
    <w:name w:val="文字描述"/>
    <w:basedOn w:val="a"/>
    <w:link w:val="Char1"/>
    <w:qFormat/>
    <w:rsid w:val="00AF0533"/>
    <w:pPr>
      <w:adjustRightInd w:val="0"/>
      <w:snapToGrid w:val="0"/>
      <w:spacing w:line="360" w:lineRule="auto"/>
      <w:ind w:firstLineChars="200" w:firstLine="200"/>
    </w:pPr>
    <w:rPr>
      <w:spacing w:val="-2"/>
      <w:sz w:val="24"/>
      <w:szCs w:val="24"/>
    </w:rPr>
  </w:style>
  <w:style w:type="character" w:customStyle="1" w:styleId="Char1">
    <w:name w:val="文字描述 Char"/>
    <w:link w:val="a5"/>
    <w:rsid w:val="00AF0533"/>
    <w:rPr>
      <w:color w:val="auto"/>
      <w:spacing w:val="-2"/>
      <w:sz w:val="24"/>
      <w:szCs w:val="24"/>
    </w:rPr>
  </w:style>
  <w:style w:type="character" w:styleId="a6">
    <w:name w:val="annotation reference"/>
    <w:basedOn w:val="a0"/>
    <w:uiPriority w:val="99"/>
    <w:semiHidden/>
    <w:unhideWhenUsed/>
    <w:rsid w:val="004E0C14"/>
    <w:rPr>
      <w:sz w:val="21"/>
      <w:szCs w:val="21"/>
    </w:rPr>
  </w:style>
  <w:style w:type="paragraph" w:styleId="a7">
    <w:name w:val="annotation text"/>
    <w:basedOn w:val="a"/>
    <w:link w:val="Char2"/>
    <w:uiPriority w:val="99"/>
    <w:semiHidden/>
    <w:unhideWhenUsed/>
    <w:rsid w:val="004E0C14"/>
    <w:pPr>
      <w:jc w:val="left"/>
    </w:pPr>
  </w:style>
  <w:style w:type="character" w:customStyle="1" w:styleId="Char2">
    <w:name w:val="批注文字 Char"/>
    <w:basedOn w:val="a0"/>
    <w:link w:val="a7"/>
    <w:uiPriority w:val="99"/>
    <w:semiHidden/>
    <w:rsid w:val="004E0C14"/>
    <w:rPr>
      <w:color w:val="auto"/>
    </w:rPr>
  </w:style>
  <w:style w:type="paragraph" w:styleId="a8">
    <w:name w:val="annotation subject"/>
    <w:basedOn w:val="a7"/>
    <w:next w:val="a7"/>
    <w:link w:val="Char3"/>
    <w:uiPriority w:val="99"/>
    <w:semiHidden/>
    <w:unhideWhenUsed/>
    <w:rsid w:val="004E0C14"/>
    <w:rPr>
      <w:b/>
      <w:bCs/>
    </w:rPr>
  </w:style>
  <w:style w:type="character" w:customStyle="1" w:styleId="Char3">
    <w:name w:val="批注主题 Char"/>
    <w:basedOn w:val="Char2"/>
    <w:link w:val="a8"/>
    <w:uiPriority w:val="99"/>
    <w:semiHidden/>
    <w:rsid w:val="004E0C14"/>
    <w:rPr>
      <w:b/>
      <w:bCs/>
      <w:color w:val="auto"/>
    </w:rPr>
  </w:style>
  <w:style w:type="paragraph" w:styleId="a9">
    <w:name w:val="Balloon Text"/>
    <w:basedOn w:val="a"/>
    <w:link w:val="Char4"/>
    <w:uiPriority w:val="99"/>
    <w:semiHidden/>
    <w:unhideWhenUsed/>
    <w:rsid w:val="004E0C14"/>
    <w:rPr>
      <w:sz w:val="18"/>
      <w:szCs w:val="18"/>
    </w:rPr>
  </w:style>
  <w:style w:type="character" w:customStyle="1" w:styleId="Char4">
    <w:name w:val="批注框文本 Char"/>
    <w:basedOn w:val="a0"/>
    <w:link w:val="a9"/>
    <w:uiPriority w:val="99"/>
    <w:semiHidden/>
    <w:rsid w:val="004E0C14"/>
    <w:rPr>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370</Words>
  <Characters>2109</Characters>
  <Application>Microsoft Office Word</Application>
  <DocSecurity>0</DocSecurity>
  <Lines>17</Lines>
  <Paragraphs>4</Paragraphs>
  <ScaleCrop>false</ScaleCrop>
  <Company>shenduxitong</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xb21cn</cp:lastModifiedBy>
  <cp:revision>22</cp:revision>
  <dcterms:created xsi:type="dcterms:W3CDTF">2021-03-09T05:53:00Z</dcterms:created>
  <dcterms:modified xsi:type="dcterms:W3CDTF">2021-12-30T03:42:00Z</dcterms:modified>
</cp:coreProperties>
</file>